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31575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e13699f-7fee-4b1f-a86f-31ded65eae63"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2340cde9-9dd0-4457-9e13-e5710f0d482f" w:id="2"/>
      <w:r>
        <w:rPr>
          <w:rFonts w:ascii="Times New Roman" w:hAnsi="Times New Roman"/>
          <w:b/>
          <w:i w:val="false"/>
          <w:color w:val="000000"/>
          <w:sz w:val="28"/>
        </w:rPr>
        <w:t>УОАМР Ботлихский район</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3485988)</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9d4b353-067d-40b4-9e10-968a93e21e67" w:id="3"/>
      <w:r>
        <w:rPr>
          <w:rFonts w:ascii="Times New Roman" w:hAnsi="Times New Roman"/>
          <w:b/>
          <w:i w:val="false"/>
          <w:color w:val="000000"/>
          <w:sz w:val="28"/>
        </w:rPr>
        <w:t>с.Ансалта 2023-2024</w:t>
      </w:r>
      <w:bookmarkEnd w:id="3"/>
      <w:r>
        <w:rPr>
          <w:rFonts w:ascii="Times New Roman" w:hAnsi="Times New Roman"/>
          <w:b/>
          <w:i w:val="false"/>
          <w:color w:val="000000"/>
          <w:sz w:val="28"/>
        </w:rPr>
        <w:t xml:space="preserve"> </w:t>
      </w:r>
      <w:bookmarkStart w:name="e17c6bbb-3fbd-4dc0-98b2-217b1bd29395" w:id="4"/>
      <w:r>
        <w:rPr>
          <w:rFonts w:ascii="Times New Roman" w:hAnsi="Times New Roman"/>
          <w:b/>
          <w:i w:val="false"/>
          <w:color w:val="000000"/>
          <w:sz w:val="28"/>
        </w:rPr>
        <w:t>год</w:t>
      </w:r>
      <w:bookmarkEnd w:id="4"/>
    </w:p>
    <w:p>
      <w:pPr>
        <w:spacing w:before="0" w:after="0"/>
        <w:ind w:left="120"/>
        <w:jc w:val="left"/>
      </w:pPr>
    </w:p>
    <w:bookmarkStart w:name="block-26315751" w:id="5"/>
    <w:p>
      <w:pPr>
        <w:sectPr>
          <w:pgSz w:w="11906" w:h="16383" w:orient="portrait"/>
        </w:sectPr>
      </w:pPr>
    </w:p>
    <w:bookmarkEnd w:id="5"/>
    <w:bookmarkEnd w:id="0"/>
    <w:bookmarkStart w:name="block-26315750"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26315750" w:id="7"/>
    <w:p>
      <w:pPr>
        <w:sectPr>
          <w:pgSz w:w="11906" w:h="16383" w:orient="portrait"/>
        </w:sectPr>
      </w:pPr>
    </w:p>
    <w:bookmarkEnd w:id="7"/>
    <w:bookmarkEnd w:id="6"/>
    <w:bookmarkStart w:name="block-26315754" w:id="8"/>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государства и государственного устройства.</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Тема 2. Международная экономическая интеграция и глобализация мировой экономики.</w:t>
      </w:r>
      <w:r>
        <w:rPr>
          <w:rFonts w:ascii="Times New Roman" w:hAnsi="Times New Roman"/>
          <w:b w:val="false"/>
          <w:i w:val="false"/>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услуг. Мировой транспорт.</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26315754" w:id="9"/>
    <w:p>
      <w:pPr>
        <w:sectPr>
          <w:pgSz w:w="11906" w:h="16383" w:orient="portrait"/>
        </w:sectPr>
      </w:pPr>
    </w:p>
    <w:bookmarkEnd w:id="9"/>
    <w:bookmarkEnd w:id="8"/>
    <w:bookmarkStart w:name="block-26315752" w:id="10"/>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5"/>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5"/>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6"/>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6"/>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6"/>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7"/>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7"/>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7"/>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8"/>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pPr>
        <w:spacing w:before="0" w:after="0" w:line="264"/>
        <w:ind w:firstLine="600"/>
        <w:jc w:val="both"/>
      </w:pP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26315752" w:id="11"/>
    <w:p>
      <w:pPr>
        <w:sectPr>
          <w:pgSz w:w="11906" w:h="16383" w:orient="portrait"/>
        </w:sectPr>
      </w:pPr>
    </w:p>
    <w:bookmarkEnd w:id="11"/>
    <w:bookmarkEnd w:id="10"/>
    <w:bookmarkStart w:name="block-26315755"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9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Раздел. </w:t>
            </w:r>
            <w:r>
              <w:rPr>
                <w:rFonts w:ascii="Times New Roman" w:hAnsi="Times New Roman"/>
                <w:b/>
                <w:i w:val="false"/>
                <w:color w:val="000000"/>
                <w:sz w:val="24"/>
              </w:rPr>
              <w:t>НАСЕЛЕНИЕ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246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 и глобализация мировой экономики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27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551" w:type="dxa"/>
            <w:tcBorders/>
            <w:tcMar>
              <w:top w:w="50" w:type="dxa"/>
              <w:left w:w="100" w:type="dxa"/>
            </w:tcMar>
            <w:vAlign w:val="center"/>
          </w:tcPr>
          <w:p>
            <w:pPr>
              <w:jc w:val="left"/>
            </w:pPr>
          </w:p>
        </w:tc>
      </w:tr>
    </w:tbl>
    <w:p>
      <w:pPr>
        <w:sectPr>
          <w:pgSz w:w="16383" w:h="11906" w:orient="landscape"/>
        </w:sectPr>
      </w:pPr>
    </w:p>
    <w:bookmarkStart w:name="block-26315755" w:id="13"/>
    <w:p>
      <w:pPr>
        <w:sectPr>
          <w:pgSz w:w="16383" w:h="11906" w:orient="landscape"/>
        </w:sectPr>
      </w:pPr>
    </w:p>
    <w:bookmarkEnd w:id="13"/>
    <w:bookmarkEnd w:id="12"/>
    <w:bookmarkStart w:name="block-2631575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54"/>
        <w:gridCol w:w="3600"/>
        <w:gridCol w:w="1040"/>
        <w:gridCol w:w="2013"/>
        <w:gridCol w:w="2167"/>
        <w:gridCol w:w="1667"/>
        <w:gridCol w:w="2653"/>
      </w:tblGrid>
      <w:tr>
        <w:trPr>
          <w:trHeight w:val="300" w:hRule="atLeast"/>
          <w:trHeight w:val="144" w:hRule="atLeast"/>
        </w:trPr>
        <w:tc>
          <w:tcPr>
            <w:tcW w:w="3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0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857"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857"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природные явления, климатические изменения, их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857" w:type="dxa"/>
            <w:tcBorders/>
            <w:tcMar>
              <w:top w:w="50" w:type="dxa"/>
              <w:left w:w="100" w:type="dxa"/>
            </w:tcMar>
            <w:vAlign w:val="center"/>
          </w:tcPr>
          <w:p>
            <w:pPr>
              <w:spacing w:before="0" w:after="0"/>
              <w:ind w:left="135"/>
              <w:jc w:val="left"/>
            </w:pPr>
          </w:p>
        </w:tc>
      </w:tr>
      <w:tr>
        <w:trPr>
          <w:trHeight w:val="459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857" w:type="dxa"/>
            <w:tcBorders/>
            <w:tcMar>
              <w:top w:w="50" w:type="dxa"/>
              <w:left w:w="100" w:type="dxa"/>
            </w:tcMar>
            <w:vAlign w:val="center"/>
          </w:tcPr>
          <w:p>
            <w:pPr>
              <w:spacing w:before="0" w:after="0"/>
              <w:ind w:left="135"/>
              <w:jc w:val="left"/>
            </w:pPr>
          </w:p>
        </w:tc>
      </w:tr>
      <w:tr>
        <w:trPr>
          <w:trHeight w:val="342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857"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857"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857"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и государственного устройства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857" w:type="dxa"/>
            <w:tcBorders/>
            <w:tcMar>
              <w:top w:w="50" w:type="dxa"/>
              <w:left w:w="100" w:type="dxa"/>
            </w:tcMar>
            <w:vAlign w:val="center"/>
          </w:tcPr>
          <w:p>
            <w:pPr>
              <w:spacing w:before="0" w:after="0"/>
              <w:ind w:left="135"/>
              <w:jc w:val="left"/>
            </w:pPr>
          </w:p>
        </w:tc>
      </w:tr>
      <w:tr>
        <w:trPr>
          <w:trHeight w:val="244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857" w:type="dxa"/>
            <w:tcBorders/>
            <w:tcMar>
              <w:top w:w="50" w:type="dxa"/>
              <w:left w:w="100" w:type="dxa"/>
            </w:tcMar>
            <w:vAlign w:val="center"/>
          </w:tcPr>
          <w:p>
            <w:pPr>
              <w:spacing w:before="0" w:after="0"/>
              <w:ind w:left="135"/>
              <w:jc w:val="left"/>
            </w:pPr>
          </w:p>
        </w:tc>
      </w:tr>
      <w:tr>
        <w:trPr>
          <w:trHeight w:val="345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857" w:type="dxa"/>
            <w:tcBorders/>
            <w:tcMar>
              <w:top w:w="50" w:type="dxa"/>
              <w:left w:w="100" w:type="dxa"/>
            </w:tcMar>
            <w:vAlign w:val="center"/>
          </w:tcPr>
          <w:p>
            <w:pPr>
              <w:spacing w:before="0" w:after="0"/>
              <w:ind w:left="135"/>
              <w:jc w:val="left"/>
            </w:pPr>
          </w:p>
        </w:tc>
      </w:tr>
      <w:tr>
        <w:trPr>
          <w:trHeight w:val="405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857" w:type="dxa"/>
            <w:tcBorders/>
            <w:tcMar>
              <w:top w:w="50" w:type="dxa"/>
              <w:left w:w="100" w:type="dxa"/>
            </w:tcMar>
            <w:vAlign w:val="center"/>
          </w:tcPr>
          <w:p>
            <w:pPr>
              <w:spacing w:before="0" w:after="0"/>
              <w:ind w:left="135"/>
              <w:jc w:val="left"/>
            </w:pPr>
          </w:p>
        </w:tc>
      </w:tr>
      <w:tr>
        <w:trPr>
          <w:trHeight w:val="351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857" w:type="dxa"/>
            <w:tcBorders/>
            <w:tcMar>
              <w:top w:w="50" w:type="dxa"/>
              <w:left w:w="100" w:type="dxa"/>
            </w:tcMar>
            <w:vAlign w:val="center"/>
          </w:tcPr>
          <w:p>
            <w:pPr>
              <w:spacing w:before="0" w:after="0"/>
              <w:ind w:left="135"/>
              <w:jc w:val="left"/>
            </w:pPr>
          </w:p>
        </w:tc>
      </w:tr>
      <w:tr>
        <w:trPr>
          <w:trHeight w:val="330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хозяйство.Отраслевая, территориальная и функциональная структура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857" w:type="dxa"/>
            <w:tcBorders/>
            <w:tcMar>
              <w:top w:w="50" w:type="dxa"/>
              <w:left w:w="100" w:type="dxa"/>
            </w:tcMar>
            <w:vAlign w:val="center"/>
          </w:tcPr>
          <w:p>
            <w:pPr>
              <w:spacing w:before="0" w:after="0"/>
              <w:ind w:left="135"/>
              <w:jc w:val="left"/>
            </w:pPr>
          </w:p>
        </w:tc>
      </w:tr>
      <w:tr>
        <w:trPr>
          <w:trHeight w:val="37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857"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857" w:type="dxa"/>
            <w:tcBorders/>
            <w:tcMar>
              <w:top w:w="50" w:type="dxa"/>
              <w:left w:w="100" w:type="dxa"/>
            </w:tcMar>
            <w:vAlign w:val="center"/>
          </w:tcPr>
          <w:p>
            <w:pPr>
              <w:spacing w:before="0" w:after="0"/>
              <w:ind w:left="135"/>
              <w:jc w:val="left"/>
            </w:pPr>
          </w:p>
        </w:tc>
      </w:tr>
      <w:tr>
        <w:trPr>
          <w:trHeight w:val="399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857" w:type="dxa"/>
            <w:tcBorders/>
            <w:tcMar>
              <w:top w:w="50" w:type="dxa"/>
              <w:left w:w="100" w:type="dxa"/>
            </w:tcMar>
            <w:vAlign w:val="center"/>
          </w:tcPr>
          <w:p>
            <w:pPr>
              <w:spacing w:before="0" w:after="0"/>
              <w:ind w:left="135"/>
              <w:jc w:val="left"/>
            </w:pPr>
          </w:p>
        </w:tc>
      </w:tr>
      <w:tr>
        <w:trPr>
          <w:trHeight w:val="324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857" w:type="dxa"/>
            <w:tcBorders/>
            <w:tcMar>
              <w:top w:w="50" w:type="dxa"/>
              <w:left w:w="100" w:type="dxa"/>
            </w:tcMar>
            <w:vAlign w:val="center"/>
          </w:tcPr>
          <w:p>
            <w:pPr>
              <w:spacing w:before="0" w:after="0"/>
              <w:ind w:left="135"/>
              <w:jc w:val="left"/>
            </w:pPr>
          </w:p>
        </w:tc>
      </w:tr>
      <w:tr>
        <w:trPr>
          <w:trHeight w:val="444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857"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международные магистрали и транспортные узлы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Мировая торговля и туризм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857" w:type="dxa"/>
            <w:tcBorders/>
            <w:tcMar>
              <w:top w:w="50" w:type="dxa"/>
              <w:left w:w="100" w:type="dxa"/>
            </w:tcMar>
            <w:vAlign w:val="center"/>
          </w:tcPr>
          <w:p>
            <w:pPr>
              <w:spacing w:before="0" w:after="0"/>
              <w:ind w:left="135"/>
              <w:jc w:val="left"/>
            </w:pPr>
          </w:p>
        </w:tc>
      </w:tr>
      <w:tr>
        <w:trPr>
          <w:trHeight w:val="30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система НИОКР</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30.05.2024 </w:t>
            </w:r>
          </w:p>
        </w:tc>
        <w:tc>
          <w:tcPr>
            <w:tcW w:w="18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78"/>
        <w:gridCol w:w="3360"/>
        <w:gridCol w:w="1081"/>
        <w:gridCol w:w="2061"/>
        <w:gridCol w:w="2211"/>
        <w:gridCol w:w="1702"/>
        <w:gridCol w:w="2701"/>
      </w:tblGrid>
      <w:tr>
        <w:trPr>
          <w:trHeight w:val="300" w:hRule="atLeast"/>
          <w:trHeight w:val="144" w:hRule="atLeast"/>
        </w:trPr>
        <w:tc>
          <w:tcPr>
            <w:tcW w:w="3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90" w:type="dxa"/>
            <w:tcBorders/>
            <w:tcMar>
              <w:top w:w="50" w:type="dxa"/>
              <w:left w:w="100" w:type="dxa"/>
            </w:tcMar>
            <w:vAlign w:val="center"/>
          </w:tcPr>
          <w:p>
            <w:pPr>
              <w:spacing w:before="0" w:after="0"/>
              <w:ind w:left="135"/>
              <w:jc w:val="left"/>
            </w:pPr>
          </w:p>
        </w:tc>
      </w:tr>
      <w:tr>
        <w:trPr>
          <w:trHeight w:val="180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90" w:type="dxa"/>
            <w:tcBorders/>
            <w:tcMar>
              <w:top w:w="50" w:type="dxa"/>
              <w:left w:w="100" w:type="dxa"/>
            </w:tcMar>
            <w:vAlign w:val="center"/>
          </w:tcPr>
          <w:p>
            <w:pPr>
              <w:spacing w:before="0" w:after="0"/>
              <w:ind w:left="135"/>
              <w:jc w:val="left"/>
            </w:pPr>
          </w:p>
        </w:tc>
      </w:tr>
      <w:tr>
        <w:trPr>
          <w:trHeight w:val="324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890" w:type="dxa"/>
            <w:tcBorders/>
            <w:tcMar>
              <w:top w:w="50" w:type="dxa"/>
              <w:left w:w="100" w:type="dxa"/>
            </w:tcMar>
            <w:vAlign w:val="center"/>
          </w:tcPr>
          <w:p>
            <w:pPr>
              <w:spacing w:before="0" w:after="0"/>
              <w:ind w:left="135"/>
              <w:jc w:val="left"/>
            </w:pPr>
          </w:p>
        </w:tc>
      </w:tr>
      <w:tr>
        <w:trPr>
          <w:trHeight w:val="244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90" w:type="dxa"/>
            <w:tcBorders/>
            <w:tcMar>
              <w:top w:w="50" w:type="dxa"/>
              <w:left w:w="100" w:type="dxa"/>
            </w:tcMar>
            <w:vAlign w:val="center"/>
          </w:tcPr>
          <w:p>
            <w:pPr>
              <w:spacing w:before="0" w:after="0"/>
              <w:ind w:left="135"/>
              <w:jc w:val="left"/>
            </w:pPr>
          </w:p>
        </w:tc>
      </w:tr>
      <w:tr>
        <w:trPr>
          <w:trHeight w:val="432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темам: Зарубежная Европа. Зарубежная Азия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 субрегионы США и Канада, Латинская Америка: общая экономико-географическая характеристика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90" w:type="dxa"/>
            <w:tcBorders/>
            <w:tcMar>
              <w:top w:w="50" w:type="dxa"/>
              <w:left w:w="100" w:type="dxa"/>
            </w:tcMar>
            <w:vAlign w:val="center"/>
          </w:tcPr>
          <w:p>
            <w:pPr>
              <w:spacing w:before="0" w:after="0"/>
              <w:ind w:left="135"/>
              <w:jc w:val="left"/>
            </w:pPr>
          </w:p>
        </w:tc>
      </w:tr>
      <w:tr>
        <w:trPr>
          <w:trHeight w:val="351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90" w:type="dxa"/>
            <w:tcBorders/>
            <w:tcMar>
              <w:top w:w="50" w:type="dxa"/>
              <w:left w:w="100" w:type="dxa"/>
            </w:tcMar>
            <w:vAlign w:val="center"/>
          </w:tcPr>
          <w:p>
            <w:pPr>
              <w:spacing w:before="0" w:after="0"/>
              <w:ind w:left="135"/>
              <w:jc w:val="left"/>
            </w:pPr>
          </w:p>
        </w:tc>
      </w:tr>
      <w:tr>
        <w:trPr>
          <w:trHeight w:val="25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общая экономико-географическая характеристика. Особенности. Экономические и социальные проблемы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90" w:type="dxa"/>
            <w:tcBorders/>
            <w:tcMar>
              <w:top w:w="50" w:type="dxa"/>
              <w:left w:w="100" w:type="dxa"/>
            </w:tcMar>
            <w:vAlign w:val="center"/>
          </w:tcPr>
          <w:p>
            <w:pPr>
              <w:spacing w:before="0" w:after="0"/>
              <w:ind w:left="135"/>
              <w:jc w:val="left"/>
            </w:pPr>
          </w:p>
        </w:tc>
      </w:tr>
      <w:tr>
        <w:trPr>
          <w:trHeight w:val="297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Америка, Африка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90" w:type="dxa"/>
            <w:tcBorders/>
            <w:tcMar>
              <w:top w:w="50" w:type="dxa"/>
              <w:left w:w="100" w:type="dxa"/>
            </w:tcMar>
            <w:vAlign w:val="center"/>
          </w:tcPr>
          <w:p>
            <w:pPr>
              <w:spacing w:before="0" w:after="0"/>
              <w:ind w:left="135"/>
              <w:jc w:val="left"/>
            </w:pPr>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интеграции России в мировое сообщество</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890" w:type="dxa"/>
            <w:tcBorders/>
            <w:tcMar>
              <w:top w:w="50" w:type="dxa"/>
              <w:left w:w="100" w:type="dxa"/>
            </w:tcMar>
            <w:vAlign w:val="center"/>
          </w:tcPr>
          <w:p>
            <w:pPr>
              <w:spacing w:before="0" w:after="0"/>
              <w:ind w:left="135"/>
              <w:jc w:val="left"/>
            </w:pPr>
          </w:p>
        </w:tc>
      </w:tr>
      <w:tr>
        <w:trPr>
          <w:trHeight w:val="22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90" w:type="dxa"/>
            <w:tcBorders/>
            <w:tcMar>
              <w:top w:w="50" w:type="dxa"/>
              <w:left w:w="100" w:type="dxa"/>
            </w:tcMar>
            <w:vAlign w:val="center"/>
          </w:tcPr>
          <w:p>
            <w:pPr>
              <w:spacing w:before="0" w:after="0"/>
              <w:ind w:left="135"/>
              <w:jc w:val="left"/>
            </w:pPr>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90" w:type="dxa"/>
            <w:tcBorders/>
            <w:tcMar>
              <w:top w:w="50" w:type="dxa"/>
              <w:left w:w="100" w:type="dxa"/>
            </w:tcMar>
            <w:vAlign w:val="center"/>
          </w:tcPr>
          <w:p>
            <w:pPr>
              <w:spacing w:before="0" w:after="0"/>
              <w:ind w:left="135"/>
              <w:jc w:val="left"/>
            </w:pPr>
          </w:p>
        </w:tc>
      </w:tr>
      <w:tr>
        <w:trPr>
          <w:trHeight w:val="459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89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315753" w:id="15"/>
    <w:p>
      <w:pPr>
        <w:sectPr>
          <w:pgSz w:w="16383" w:h="11906" w:orient="landscape"/>
        </w:sectPr>
      </w:pPr>
    </w:p>
    <w:bookmarkEnd w:id="15"/>
    <w:bookmarkEnd w:id="14"/>
    <w:bookmarkStart w:name="block-26315756"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6315756"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